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 genetic</w:t>
      </w:r>
      <w:r>
        <w:t xml:space="preserve"> </w:t>
      </w:r>
      <w:r>
        <w:t xml:space="preserve">background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the CMAP databases and gene set enrichment analysis</w:t>
      </w:r>
      <w:r>
        <w:t xml:space="preserve"> </w:t>
      </w:r>
      <w:r>
        <w:t xml:space="preserve">(GSEA). We also paired these vectors with about cell-type specific genes</w:t>
      </w:r>
      <w:r>
        <w:t xml:space="preserve"> </w:t>
      </w:r>
      <w:r>
        <w:t xml:space="preserve">to generate hypotheses about cell composition in individual tissues.</w:t>
      </w:r>
      <w:r>
        <w:t xml:space="preserve"> </w:t>
      </w:r>
      <w:r>
        <w:t xml:space="preserve">Combining the multi-tissue, transcriptome-wide weighted vectors with</w:t>
      </w:r>
      <w:r>
        <w:t xml:space="preserve"> </w:t>
      </w:r>
      <w:r>
        <w:t xml:space="preserve">public data bases and data sets provides a path for generating a wide</w:t>
      </w:r>
      <w:r>
        <w:t xml:space="preserve"> </w:t>
      </w:r>
      <w:r>
        <w:t xml:space="preserve">range of testable hypotheses.</w:t>
      </w:r>
    </w:p>
    <w:p>
      <w:pPr>
        <w:pStyle w:val="BodyText"/>
      </w:pPr>
      <w:r>
        <w:t xml:space="preserve">Gene expression derived from patient biopsies confirmed that the</w:t>
      </w:r>
      <w:r>
        <w:t xml:space="preserve"> </w:t>
      </w:r>
      <w:r>
        <w:t xml:space="preserve">transcriptional signatures we identified in mice predict obesity status</w:t>
      </w:r>
      <w:r>
        <w:t xml:space="preserve"> </w:t>
      </w:r>
      <w:r>
        <w:t xml:space="preserve">in humans, further supporting the translatability of these results.</w:t>
      </w:r>
      <w:r>
        <w:t xml:space="preserve"> </w:t>
      </w:r>
      <w:r>
        <w:t xml:space="preserve">Finally, we used the CMAP database to show that the transcriptomic</w:t>
      </w:r>
      <w:r>
        <w:t xml:space="preserve"> </w:t>
      </w:r>
      <w:r>
        <w:t xml:space="preserve">signatures we identified in mice could be translated into human drug</w:t>
      </w:r>
      <w:r>
        <w:t xml:space="preserve"> </w:t>
      </w:r>
      <w:r>
        <w:t xml:space="preserve">targets, as currently used diabetes drugs and targets were among the top</w:t>
      </w:r>
      <w:r>
        <w:t xml:space="preserve"> </w:t>
      </w:r>
      <w:r>
        <w:t xml:space="preserve">hits for reversing the disease-associated signatures. That these drugs</w:t>
      </w:r>
      <w:r>
        <w:t xml:space="preserve"> </w:t>
      </w:r>
      <w:r>
        <w:t xml:space="preserve">are known to reverse diabetes pathogenesis supports the causal role of</w:t>
      </w:r>
      <w:r>
        <w:t xml:space="preserve"> </w:t>
      </w:r>
      <w:r>
        <w:t xml:space="preserve">these gene signatures in disease risk as modeled by high-dimensional</w:t>
      </w:r>
      <w:r>
        <w:t xml:space="preserve"> </w:t>
      </w:r>
      <w:r>
        <w:t xml:space="preserve">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2024-08-09T18:40:45Z</dcterms:created>
  <dcterms:modified xsi:type="dcterms:W3CDTF">2024-08-09T18:40:45Z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